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28A1" w14:textId="1789EE9C" w:rsidR="00EF7E3F" w:rsidRDefault="00EF7E3F" w:rsidP="00C92B2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Oude tekst art 1</w:t>
      </w:r>
    </w:p>
    <w:p w14:paraId="38F31EF0" w14:textId="77777777" w:rsidR="00C92B28" w:rsidRDefault="00C92B28" w:rsidP="00C92B2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FF73A0" w14:textId="77777777" w:rsidR="0042029E" w:rsidRPr="00EF7E3F" w:rsidRDefault="0042029E" w:rsidP="00C92B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  <w:color w:val="000000"/>
          <w:sz w:val="18"/>
          <w:szCs w:val="18"/>
        </w:rPr>
      </w:pPr>
      <w:r w:rsidRPr="00EF7E3F">
        <w:rPr>
          <w:rFonts w:ascii="Helvetica-Bold" w:eastAsia="Calibri" w:hAnsi="Helvetica-Bold" w:cs="Helvetica-Bold"/>
          <w:b/>
          <w:bCs/>
          <w:color w:val="000000"/>
          <w:sz w:val="18"/>
          <w:szCs w:val="18"/>
        </w:rPr>
        <w:t>Artikel 1 Het lidmaatschap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3844"/>
      </w:tblGrid>
      <w:tr w:rsidR="0042029E" w14:paraId="1FD4B15B" w14:textId="77777777" w:rsidTr="0042029E">
        <w:tc>
          <w:tcPr>
            <w:tcW w:w="279" w:type="dxa"/>
          </w:tcPr>
          <w:p w14:paraId="706A98F1" w14:textId="2D5F32BD" w:rsidR="0042029E" w:rsidRPr="0042029E" w:rsidRDefault="0042029E" w:rsidP="00C9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3" w:type="dxa"/>
          </w:tcPr>
          <w:p w14:paraId="7E293B6A" w14:textId="77777777" w:rsidR="0042029E" w:rsidRDefault="0042029E" w:rsidP="00C92B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Het lidmaatschap van de vereniging is in beginsel verbonden aan één ligplaats. </w:t>
            </w:r>
            <w:proofErr w:type="gramStart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Kandidaat /</w:t>
            </w:r>
            <w:proofErr w:type="gramEnd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aspirant leden</w:t>
            </w:r>
            <w:r w:rsidRP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worden slechts toegelaten indien zij de toelatingsprocedure met goed gevolg hebben doorlopen.</w:t>
            </w:r>
          </w:p>
          <w:p w14:paraId="447A3875" w14:textId="06F19D39" w:rsidR="00C92B28" w:rsidRPr="00C92B28" w:rsidRDefault="00C92B28" w:rsidP="00C92B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029E" w14:paraId="51AC06FC" w14:textId="77777777" w:rsidTr="0042029E">
        <w:tc>
          <w:tcPr>
            <w:tcW w:w="279" w:type="dxa"/>
          </w:tcPr>
          <w:p w14:paraId="3DA4A329" w14:textId="60CF80A7" w:rsidR="0042029E" w:rsidRPr="0042029E" w:rsidRDefault="0042029E" w:rsidP="00EF7E3F">
            <w:pPr>
              <w:rPr>
                <w:rFonts w:ascii="Arial" w:hAnsi="Arial" w:cs="Arial"/>
                <w:sz w:val="20"/>
                <w:szCs w:val="20"/>
              </w:rPr>
            </w:pPr>
            <w:r w:rsidRPr="004202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3" w:type="dxa"/>
          </w:tcPr>
          <w:p w14:paraId="6B227588" w14:textId="43AD3304" w:rsidR="0042029E" w:rsidRPr="00C92B28" w:rsidRDefault="0042029E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Nieuwe volwassen leden worden slechts toegelaten indien zij over een boot beschikken die</w:t>
            </w:r>
            <w:r w:rsid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voldoet aan de vereisten voor ligplaatstoewijzing als vastgelegd in het Havenreglement.</w:t>
            </w:r>
          </w:p>
          <w:p w14:paraId="4E997AFB" w14:textId="77777777" w:rsidR="0042029E" w:rsidRDefault="0042029E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De toelating als nieuw lid gaat pas in na ontvangst van betaling van de contributie, entreegeld en liggeld. </w:t>
            </w:r>
          </w:p>
          <w:p w14:paraId="70143116" w14:textId="02032B1C" w:rsidR="00C92B28" w:rsidRPr="00C92B28" w:rsidRDefault="00C92B28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029E" w14:paraId="5CFEA84E" w14:textId="77777777" w:rsidTr="0042029E">
        <w:tc>
          <w:tcPr>
            <w:tcW w:w="279" w:type="dxa"/>
          </w:tcPr>
          <w:p w14:paraId="4F94E443" w14:textId="731B27D1" w:rsidR="0042029E" w:rsidRPr="0042029E" w:rsidRDefault="0042029E" w:rsidP="00EF7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93" w:type="dxa"/>
          </w:tcPr>
          <w:p w14:paraId="6F2FB9EC" w14:textId="77777777" w:rsidR="0042029E" w:rsidRDefault="0042029E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Een jeugdlidmaatschap geldt voor personen tot 21 jaar</w:t>
            </w:r>
          </w:p>
          <w:p w14:paraId="25F8911F" w14:textId="77777777" w:rsidR="00C92B28" w:rsidRDefault="00C92B28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05BBB4" w14:textId="1BD71976" w:rsidR="00C92B28" w:rsidRPr="00C92B28" w:rsidRDefault="00C92B28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029E" w14:paraId="1461B899" w14:textId="77777777" w:rsidTr="0042029E">
        <w:tc>
          <w:tcPr>
            <w:tcW w:w="279" w:type="dxa"/>
          </w:tcPr>
          <w:p w14:paraId="308B8FDA" w14:textId="475A32BC" w:rsidR="0042029E" w:rsidRPr="0042029E" w:rsidRDefault="0042029E" w:rsidP="00EF7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93" w:type="dxa"/>
          </w:tcPr>
          <w:p w14:paraId="3B40F94A" w14:textId="46A864F9" w:rsidR="0042029E" w:rsidRDefault="0042029E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Het vereiste van verbinding aan een ligplaats geldt niet voor ereleden, voor leden van verdienste</w:t>
            </w:r>
            <w:r w:rsidRP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en voor jeugdleden.</w:t>
            </w:r>
          </w:p>
          <w:p w14:paraId="45367D2C" w14:textId="77777777" w:rsidR="00C92B28" w:rsidRDefault="00C92B28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51A7E07" w14:textId="57538C7A" w:rsidR="00C92B28" w:rsidRPr="00C92B28" w:rsidRDefault="00C92B28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029E" w14:paraId="2DAC0E59" w14:textId="77777777" w:rsidTr="0042029E">
        <w:tc>
          <w:tcPr>
            <w:tcW w:w="279" w:type="dxa"/>
          </w:tcPr>
          <w:p w14:paraId="03F38859" w14:textId="2D9C7A78" w:rsidR="0042029E" w:rsidRPr="0042029E" w:rsidRDefault="0042029E" w:rsidP="00EF7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93" w:type="dxa"/>
          </w:tcPr>
          <w:p w14:paraId="296F9E30" w14:textId="3A14600B" w:rsidR="0042029E" w:rsidRDefault="0042029E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Het bestuur kan aan een lid bij uitzondering meer dan één ligplaats toewijzen, </w:t>
            </w:r>
            <w:proofErr w:type="gramStart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indien</w:t>
            </w:r>
            <w:proofErr w:type="gramEnd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het bestuur</w:t>
            </w:r>
            <w:r w:rsidR="00C92B28" w:rsidRP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van mening is, op grond van de argumentatie van het lid, redelijkerwijs op dat verzoek te kunnen</w:t>
            </w:r>
            <w:r w:rsidR="00C92B28" w:rsidRP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ingaan en wanneer er tevens voldoende ligplaatsen voor toewijzing beschikbaar zijn.</w:t>
            </w:r>
          </w:p>
          <w:p w14:paraId="3AB56036" w14:textId="4D1A24A7" w:rsidR="00C92B28" w:rsidRDefault="00C92B28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EFD04EA" w14:textId="77777777" w:rsidR="00C92B28" w:rsidRDefault="00C92B28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2C07DB5A" w14:textId="4476DBCB" w:rsidR="00C92B28" w:rsidRDefault="00C92B28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0C26BBD" w14:textId="566CDD38" w:rsidR="00C92B28" w:rsidRPr="00C92B28" w:rsidRDefault="00C92B28" w:rsidP="004202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029E" w14:paraId="1B595CCF" w14:textId="77777777" w:rsidTr="0042029E">
        <w:tc>
          <w:tcPr>
            <w:tcW w:w="279" w:type="dxa"/>
          </w:tcPr>
          <w:p w14:paraId="3CAF3A42" w14:textId="24957423" w:rsidR="0042029E" w:rsidRPr="00C92B28" w:rsidRDefault="00C92B28" w:rsidP="00EF7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93" w:type="dxa"/>
          </w:tcPr>
          <w:p w14:paraId="547DDA36" w14:textId="618854D1" w:rsidR="00C92B28" w:rsidRPr="00C92B28" w:rsidRDefault="00C92B28" w:rsidP="00C92B28">
            <w:pPr>
              <w:tabs>
                <w:tab w:val="left" w:pos="426"/>
              </w:tabs>
              <w:autoSpaceDE w:val="0"/>
              <w:autoSpaceDN w:val="0"/>
              <w:adjustRightInd w:val="0"/>
              <w:ind w:left="420" w:hanging="4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Een donateur betaalt alleen contributie en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heeft verder geen rechten of plichten, alleen aanwezigheid op de vereniging bij activiteiten.</w:t>
            </w:r>
          </w:p>
          <w:p w14:paraId="295ACC39" w14:textId="77777777" w:rsidR="0042029E" w:rsidRPr="00C92B28" w:rsidRDefault="0042029E" w:rsidP="00EF7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29E" w14:paraId="298CAD9E" w14:textId="77777777" w:rsidTr="0042029E">
        <w:tc>
          <w:tcPr>
            <w:tcW w:w="279" w:type="dxa"/>
          </w:tcPr>
          <w:p w14:paraId="4E4A2A38" w14:textId="77777777" w:rsidR="0042029E" w:rsidRDefault="0042029E" w:rsidP="00EF7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3" w:type="dxa"/>
          </w:tcPr>
          <w:p w14:paraId="182F1714" w14:textId="77777777" w:rsidR="0042029E" w:rsidRDefault="0042029E" w:rsidP="00EF7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56E288" w14:textId="2DA0BCC0" w:rsidR="00C92B28" w:rsidRDefault="00C92B28" w:rsidP="00EF7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75DB2F" w14:textId="77777777" w:rsidR="00C92B28" w:rsidRDefault="00C92B28" w:rsidP="00EF7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1BC224" w14:textId="77777777" w:rsidR="00C92B28" w:rsidRDefault="00C92B28" w:rsidP="00EF7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4288F4" w14:textId="563D5612" w:rsidR="00C92B28" w:rsidRPr="00C92B28" w:rsidRDefault="00C92B28" w:rsidP="00EF7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29E" w14:paraId="13144C3F" w14:textId="77777777" w:rsidTr="0042029E">
        <w:tc>
          <w:tcPr>
            <w:tcW w:w="279" w:type="dxa"/>
          </w:tcPr>
          <w:p w14:paraId="14ED49FD" w14:textId="68327EE2" w:rsidR="0042029E" w:rsidRPr="00C92B28" w:rsidRDefault="00C92B28" w:rsidP="00EF7E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93" w:type="dxa"/>
          </w:tcPr>
          <w:p w14:paraId="4C71597B" w14:textId="3A212EC8" w:rsidR="00C92B28" w:rsidRPr="00EF7E3F" w:rsidRDefault="00C92B28" w:rsidP="00C92B28">
            <w:pPr>
              <w:tabs>
                <w:tab w:val="left" w:pos="426"/>
              </w:tabs>
              <w:autoSpaceDE w:val="0"/>
              <w:autoSpaceDN w:val="0"/>
              <w:adjustRightInd w:val="0"/>
              <w:ind w:left="420" w:hanging="4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Leden dienen zelf wijzigingen van adres, e-mailadres, telefoonnummer </w:t>
            </w:r>
            <w:r w:rsidRPr="00EF7E3F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en</w:t>
            </w:r>
            <w:r w:rsidRPr="00EF7E3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F7E3F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verzekeringgegevens</w:t>
            </w:r>
            <w:proofErr w:type="spellEnd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terstond in Mijn Captain of </w:t>
            </w:r>
            <w:proofErr w:type="spellStart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Cappie</w:t>
            </w:r>
            <w:proofErr w:type="spellEnd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te veranderen of door te geven aan de secretaris.</w:t>
            </w:r>
          </w:p>
          <w:p w14:paraId="6E3C1C3D" w14:textId="77777777" w:rsidR="0042029E" w:rsidRPr="00C92B28" w:rsidRDefault="0042029E" w:rsidP="00EF7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44F9D69" w14:textId="3C1699A4" w:rsidR="00EF7E3F" w:rsidRDefault="00EF7E3F" w:rsidP="004202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-Light" w:eastAsia="Calibri" w:hAnsi="Helvetica-Light" w:cs="Helvetica-Light"/>
          <w:color w:val="000000"/>
          <w:sz w:val="18"/>
          <w:szCs w:val="18"/>
        </w:rPr>
      </w:pPr>
    </w:p>
    <w:p w14:paraId="6455A459" w14:textId="0823C53B" w:rsidR="00EF7E3F" w:rsidRDefault="00EF7E3F" w:rsidP="00EF7E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-Light" w:eastAsia="Calibri" w:hAnsi="Helvetica-Light" w:cs="Helvetica-Light"/>
          <w:color w:val="000000"/>
          <w:sz w:val="18"/>
          <w:szCs w:val="18"/>
        </w:rPr>
      </w:pPr>
      <w:r>
        <w:rPr>
          <w:rFonts w:ascii="Helvetica-Light" w:eastAsia="Calibri" w:hAnsi="Helvetica-Light" w:cs="Helvetica-Light"/>
          <w:color w:val="000000"/>
          <w:sz w:val="18"/>
          <w:szCs w:val="18"/>
        </w:rPr>
        <w:tab/>
      </w:r>
      <w:r w:rsidRPr="00EF7E3F">
        <w:rPr>
          <w:rFonts w:ascii="Helvetica-Light" w:eastAsia="Calibri" w:hAnsi="Helvetica-Light" w:cs="Helvetica-Light"/>
          <w:color w:val="000000"/>
          <w:sz w:val="18"/>
          <w:szCs w:val="18"/>
        </w:rPr>
        <w:t xml:space="preserve"> </w:t>
      </w:r>
    </w:p>
    <w:p w14:paraId="4E44BE3A" w14:textId="03C9630D" w:rsidR="00EF7E3F" w:rsidRPr="00EF7E3F" w:rsidRDefault="00EF7E3F" w:rsidP="00C92B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-Light" w:eastAsia="Calibri" w:hAnsi="Helvetica-Light" w:cs="Helvetica-Light"/>
          <w:color w:val="000000"/>
          <w:sz w:val="18"/>
          <w:szCs w:val="18"/>
        </w:rPr>
      </w:pPr>
    </w:p>
    <w:p w14:paraId="70FA34CD" w14:textId="7EADAA06" w:rsidR="00EF7E3F" w:rsidRDefault="00EF7E3F" w:rsidP="00EF7E3F">
      <w:pPr>
        <w:rPr>
          <w:rFonts w:ascii="Arial" w:hAnsi="Arial" w:cs="Arial"/>
          <w:b/>
          <w:bCs/>
          <w:sz w:val="24"/>
          <w:szCs w:val="24"/>
        </w:rPr>
      </w:pPr>
    </w:p>
    <w:p w14:paraId="38A84479" w14:textId="3EEC71D1" w:rsidR="00EF7E3F" w:rsidRDefault="00EF7E3F" w:rsidP="00EF7E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Nieuwe tekst art 1</w:t>
      </w:r>
    </w:p>
    <w:p w14:paraId="5D20EA5C" w14:textId="77777777" w:rsidR="00EF7E3F" w:rsidRDefault="00EF7E3F" w:rsidP="00EF7E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D3BA3B" w14:textId="5FE99BFF" w:rsidR="00EF7E3F" w:rsidRDefault="00EF7E3F" w:rsidP="00EF7E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  <w:color w:val="000000"/>
          <w:sz w:val="18"/>
          <w:szCs w:val="18"/>
        </w:rPr>
      </w:pPr>
      <w:r w:rsidRPr="00EF7E3F">
        <w:rPr>
          <w:rFonts w:ascii="Helvetica-Bold" w:eastAsia="Calibri" w:hAnsi="Helvetica-Bold" w:cs="Helvetica-Bold"/>
          <w:b/>
          <w:bCs/>
          <w:color w:val="000000"/>
          <w:sz w:val="18"/>
          <w:szCs w:val="18"/>
        </w:rPr>
        <w:t>Artikel 1 Het lidmaatschap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3751"/>
      </w:tblGrid>
      <w:tr w:rsidR="00C92B28" w14:paraId="67084124" w14:textId="77777777" w:rsidTr="00C92B28">
        <w:tc>
          <w:tcPr>
            <w:tcW w:w="421" w:type="dxa"/>
          </w:tcPr>
          <w:p w14:paraId="379393EC" w14:textId="22CFA223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51" w:type="dxa"/>
          </w:tcPr>
          <w:p w14:paraId="51FD8C06" w14:textId="77777777" w:rsid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Het lidmaatschap van de vereniging is in beginsel verbonden aan één ligplaats. </w:t>
            </w:r>
            <w:proofErr w:type="gramStart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Kandidaat /</w:t>
            </w:r>
            <w:proofErr w:type="gramEnd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aspirant leden</w:t>
            </w:r>
            <w:r w:rsidRP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worden slechts toegelaten indien zij de toelatingsprocedure met goed gevolg hebben doorlopen.</w:t>
            </w:r>
          </w:p>
          <w:p w14:paraId="339E9D60" w14:textId="61F6BEAB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92B28" w14:paraId="107373CF" w14:textId="77777777" w:rsidTr="00C92B28">
        <w:tc>
          <w:tcPr>
            <w:tcW w:w="421" w:type="dxa"/>
          </w:tcPr>
          <w:p w14:paraId="42B7F70B" w14:textId="661F1C1B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51" w:type="dxa"/>
          </w:tcPr>
          <w:p w14:paraId="6916C58E" w14:textId="77777777" w:rsidR="00C92B28" w:rsidRPr="00EF7E3F" w:rsidRDefault="00C92B28" w:rsidP="00C92B28">
            <w:pPr>
              <w:tabs>
                <w:tab w:val="left" w:pos="0"/>
              </w:tabs>
              <w:autoSpaceDE w:val="0"/>
              <w:autoSpaceDN w:val="0"/>
              <w:adjustRightInd w:val="0"/>
              <w:ind w:hanging="1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Nieuwe volwassen leden worden slechts</w:t>
            </w:r>
            <w:r w:rsidRP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toegelaten</w:t>
            </w:r>
            <w:r w:rsidRP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indien zij over een boot beschikken die voldoet aan de vereisten voor ligplaatstoewijzing als vastgelegd in het Havenreglement.</w:t>
            </w:r>
          </w:p>
          <w:p w14:paraId="07AAFC52" w14:textId="77777777" w:rsid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De toelating als nieuw lid gaat pas in na ontvangst van betaling van de contributie, entreegeld en liggeld. </w:t>
            </w:r>
          </w:p>
          <w:p w14:paraId="268D293B" w14:textId="710FD6A9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92B28" w14:paraId="2C67BDB2" w14:textId="77777777" w:rsidTr="00C92B28">
        <w:tc>
          <w:tcPr>
            <w:tcW w:w="421" w:type="dxa"/>
          </w:tcPr>
          <w:p w14:paraId="382E8898" w14:textId="45DC6BCF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51" w:type="dxa"/>
          </w:tcPr>
          <w:p w14:paraId="378F9F17" w14:textId="77777777" w:rsid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Een jeugdlidmaatschap geldt voor personen tot 21 jaar. </w:t>
            </w:r>
            <w:r w:rsidRPr="00C92B28">
              <w:rPr>
                <w:rFonts w:ascii="Arial" w:eastAsia="Calibri" w:hAnsi="Arial" w:cs="Arial"/>
                <w:color w:val="FF0000"/>
                <w:sz w:val="18"/>
                <w:szCs w:val="18"/>
              </w:rPr>
              <w:t>Een jeugdlid zonder boot moet deelnemen aan het jeugdzeilen</w:t>
            </w:r>
            <w:r w:rsidRPr="00C92B28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  <w:p w14:paraId="6C3AF221" w14:textId="14FC8BE5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B28" w14:paraId="624A4E08" w14:textId="77777777" w:rsidTr="00C92B28">
        <w:tc>
          <w:tcPr>
            <w:tcW w:w="421" w:type="dxa"/>
          </w:tcPr>
          <w:p w14:paraId="22E52A1C" w14:textId="3420B4E6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51" w:type="dxa"/>
          </w:tcPr>
          <w:p w14:paraId="2E022118" w14:textId="1D581613" w:rsidR="00C92B28" w:rsidRPr="00EF7E3F" w:rsidRDefault="00C92B28" w:rsidP="00C92B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Het vereiste van verbinding aan een ligplaats geldt niet voor ereleden, voor leden van verdienste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en voor jeugdleden </w:t>
            </w:r>
            <w:r w:rsidRPr="00EF7E3F">
              <w:rPr>
                <w:rFonts w:ascii="Arial" w:eastAsia="Calibri" w:hAnsi="Arial" w:cs="Arial"/>
                <w:color w:val="FF0000"/>
                <w:sz w:val="18"/>
                <w:szCs w:val="18"/>
              </w:rPr>
              <w:t>en voor leden zonder ligplaats.</w:t>
            </w:r>
          </w:p>
          <w:p w14:paraId="4C8D42D9" w14:textId="77777777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B28" w14:paraId="2856DA2B" w14:textId="77777777" w:rsidTr="00C92B28">
        <w:tc>
          <w:tcPr>
            <w:tcW w:w="421" w:type="dxa"/>
          </w:tcPr>
          <w:p w14:paraId="57A06285" w14:textId="65C8A715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51" w:type="dxa"/>
          </w:tcPr>
          <w:p w14:paraId="061365BE" w14:textId="77777777" w:rsidR="00C92B28" w:rsidRPr="00EF7E3F" w:rsidRDefault="00C92B28" w:rsidP="00C92B2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Het bestuur kan aan een lid bij uitzondering meer dan één ligplaats </w:t>
            </w:r>
            <w:r w:rsidRPr="00EF7E3F">
              <w:rPr>
                <w:rFonts w:ascii="Arial" w:eastAsia="Calibri" w:hAnsi="Arial" w:cs="Arial"/>
                <w:color w:val="FF0000"/>
                <w:sz w:val="18"/>
                <w:szCs w:val="18"/>
              </w:rPr>
              <w:t>in het water toewijzen voor maximaal 3 maanden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indien</w:t>
            </w:r>
            <w:proofErr w:type="gramEnd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het bestuur van mening is, op grond van de argumentatie van het lid, redelijkerwijs op dat verzoek te kunnen ingaan en wanneer er tevens voldoende ligplaatsen voor toewijzing beschikbaar zijn. </w:t>
            </w:r>
            <w:r w:rsidRPr="00EF7E3F">
              <w:rPr>
                <w:rFonts w:ascii="Arial" w:eastAsia="Calibri" w:hAnsi="Arial" w:cs="Arial"/>
                <w:color w:val="FF0000"/>
                <w:sz w:val="18"/>
                <w:szCs w:val="18"/>
              </w:rPr>
              <w:t>Deze ligplaats is de 3 maanden gratis, daarna wordt het passantentarief in rekening gebracht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  <w:p w14:paraId="3EF06B72" w14:textId="77777777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B28" w14:paraId="08FADB1D" w14:textId="77777777" w:rsidTr="00C92B28">
        <w:tc>
          <w:tcPr>
            <w:tcW w:w="421" w:type="dxa"/>
          </w:tcPr>
          <w:p w14:paraId="26FC70B9" w14:textId="5DBEAE10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51" w:type="dxa"/>
          </w:tcPr>
          <w:p w14:paraId="7605D24B" w14:textId="77777777" w:rsidR="00C92B28" w:rsidRPr="00EF7E3F" w:rsidRDefault="00C92B28" w:rsidP="00C92B28">
            <w:pPr>
              <w:tabs>
                <w:tab w:val="left" w:pos="426"/>
              </w:tabs>
              <w:autoSpaceDE w:val="0"/>
              <w:autoSpaceDN w:val="0"/>
              <w:adjustRightInd w:val="0"/>
              <w:ind w:left="420" w:hanging="4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Een donateur betaalt alleen contributie en heeft verder geen rechten of plichten, alleen aanwezigheid op de vereniging bij activiteiten.</w:t>
            </w:r>
          </w:p>
          <w:p w14:paraId="3D7D3F86" w14:textId="77777777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B28" w14:paraId="098A5528" w14:textId="77777777" w:rsidTr="00C92B28">
        <w:tc>
          <w:tcPr>
            <w:tcW w:w="421" w:type="dxa"/>
          </w:tcPr>
          <w:p w14:paraId="1AB49C70" w14:textId="7728890E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51" w:type="dxa"/>
          </w:tcPr>
          <w:p w14:paraId="502EC74D" w14:textId="77777777" w:rsid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Een lid zonder ligplaats heeft dezelfde rechten en plichten als een </w:t>
            </w:r>
            <w:proofErr w:type="spellStart"/>
            <w:r w:rsidRPr="00EF7E3F">
              <w:rPr>
                <w:rFonts w:ascii="Arial" w:eastAsia="Calibri" w:hAnsi="Arial" w:cs="Arial"/>
                <w:color w:val="FF0000"/>
                <w:sz w:val="18"/>
                <w:szCs w:val="18"/>
              </w:rPr>
              <w:t>hoofdlid</w:t>
            </w:r>
            <w:proofErr w:type="spellEnd"/>
            <w:r w:rsidRPr="00EF7E3F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met dien verstande dat een lid zonder ligplaats geen werkuren hoeft te maken.</w:t>
            </w:r>
          </w:p>
          <w:p w14:paraId="1DE2314F" w14:textId="7C57D261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2B28" w14:paraId="3706A201" w14:textId="77777777" w:rsidTr="00C92B28">
        <w:tc>
          <w:tcPr>
            <w:tcW w:w="421" w:type="dxa"/>
          </w:tcPr>
          <w:p w14:paraId="1AF18E84" w14:textId="691ED7D8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51" w:type="dxa"/>
          </w:tcPr>
          <w:p w14:paraId="287E9D43" w14:textId="260C80C8" w:rsidR="00C92B28" w:rsidRPr="00EF7E3F" w:rsidRDefault="00C92B28" w:rsidP="00C92B28">
            <w:pPr>
              <w:autoSpaceDE w:val="0"/>
              <w:autoSpaceDN w:val="0"/>
              <w:adjustRightInd w:val="0"/>
              <w:ind w:left="27" w:firstLine="6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Leden dienen zelf wijzigingen van adres, e-mailadres, telefoonnummer </w:t>
            </w:r>
            <w:r w:rsidRPr="00EF7E3F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en</w:t>
            </w:r>
            <w:r w:rsidRPr="00EF7E3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F7E3F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verzekeringgegevens</w:t>
            </w:r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terstond in Mijn Captain of </w:t>
            </w:r>
            <w:proofErr w:type="spellStart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>Cappie</w:t>
            </w:r>
            <w:proofErr w:type="spellEnd"/>
            <w:r w:rsidRPr="00EF7E3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te veranderen of door te geven aan de secretaris.</w:t>
            </w:r>
          </w:p>
          <w:p w14:paraId="3FF50D29" w14:textId="77777777" w:rsidR="00C92B28" w:rsidRPr="00C92B28" w:rsidRDefault="00C92B28" w:rsidP="00EF7E3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0128145" w14:textId="00F602AC" w:rsidR="00C92B28" w:rsidRDefault="00C92B28" w:rsidP="00EF7E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  <w:color w:val="000000"/>
          <w:sz w:val="18"/>
          <w:szCs w:val="18"/>
        </w:rPr>
      </w:pPr>
    </w:p>
    <w:p w14:paraId="78D12259" w14:textId="0A1FB46F" w:rsidR="00C92B28" w:rsidRDefault="00C92B28" w:rsidP="00EF7E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  <w:color w:val="000000"/>
          <w:sz w:val="18"/>
          <w:szCs w:val="18"/>
        </w:rPr>
      </w:pPr>
    </w:p>
    <w:p w14:paraId="7D59CE54" w14:textId="794D5BB5" w:rsidR="00C92B28" w:rsidRDefault="00C92B28" w:rsidP="00EF7E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  <w:color w:val="000000"/>
          <w:sz w:val="18"/>
          <w:szCs w:val="18"/>
        </w:rPr>
      </w:pPr>
    </w:p>
    <w:p w14:paraId="27C41DE0" w14:textId="77777777" w:rsidR="00C92B28" w:rsidRPr="00EF7E3F" w:rsidRDefault="00C92B28" w:rsidP="00EF7E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  <w:color w:val="000000"/>
          <w:sz w:val="18"/>
          <w:szCs w:val="18"/>
        </w:rPr>
      </w:pPr>
    </w:p>
    <w:p w14:paraId="05EDC6FB" w14:textId="1C63ED55" w:rsidR="00EF7E3F" w:rsidRPr="00EF7E3F" w:rsidRDefault="00C92B28" w:rsidP="00EF7E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Helvetica-Light" w:eastAsia="Calibri" w:hAnsi="Helvetica-Light" w:cs="Helvetica-Light"/>
          <w:color w:val="000000"/>
          <w:sz w:val="18"/>
          <w:szCs w:val="18"/>
        </w:rPr>
        <w:t xml:space="preserve"> </w:t>
      </w:r>
    </w:p>
    <w:sectPr w:rsidR="00EF7E3F" w:rsidRPr="00EF7E3F" w:rsidSect="00EF7E3F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EBA4" w14:textId="77777777" w:rsidR="00EF7E3F" w:rsidRDefault="00EF7E3F" w:rsidP="00EF7E3F">
      <w:pPr>
        <w:spacing w:after="0" w:line="240" w:lineRule="auto"/>
      </w:pPr>
      <w:r>
        <w:separator/>
      </w:r>
    </w:p>
  </w:endnote>
  <w:endnote w:type="continuationSeparator" w:id="0">
    <w:p w14:paraId="46605F3A" w14:textId="77777777" w:rsidR="00EF7E3F" w:rsidRDefault="00EF7E3F" w:rsidP="00EF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207EE" w14:textId="77777777" w:rsidR="00EF7E3F" w:rsidRDefault="00EF7E3F" w:rsidP="00EF7E3F">
      <w:pPr>
        <w:spacing w:after="0" w:line="240" w:lineRule="auto"/>
      </w:pPr>
      <w:r>
        <w:separator/>
      </w:r>
    </w:p>
  </w:footnote>
  <w:footnote w:type="continuationSeparator" w:id="0">
    <w:p w14:paraId="0274333E" w14:textId="77777777" w:rsidR="00EF7E3F" w:rsidRDefault="00EF7E3F" w:rsidP="00EF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6C2C" w14:textId="08E02585" w:rsidR="00EF7E3F" w:rsidRDefault="00EF7E3F" w:rsidP="00EF7E3F">
    <w:pPr>
      <w:pStyle w:val="Koptekst"/>
      <w:jc w:val="center"/>
      <w:rPr>
        <w:rFonts w:ascii="Arial" w:hAnsi="Arial" w:cs="Arial"/>
        <w:b/>
        <w:bCs/>
        <w:sz w:val="24"/>
        <w:szCs w:val="24"/>
      </w:rPr>
    </w:pPr>
    <w:r w:rsidRPr="00EF7E3F">
      <w:rPr>
        <w:rFonts w:ascii="Arial" w:hAnsi="Arial" w:cs="Arial"/>
        <w:b/>
        <w:bCs/>
        <w:sz w:val="24"/>
        <w:szCs w:val="24"/>
      </w:rPr>
      <w:t>Aanpassing Huishoudelijk Reglement</w:t>
    </w:r>
  </w:p>
  <w:p w14:paraId="1A0C199D" w14:textId="5D3F5BA6" w:rsidR="00C2320D" w:rsidRDefault="00C2320D" w:rsidP="00C2320D">
    <w:pPr>
      <w:pStyle w:val="Koptekst"/>
      <w:rPr>
        <w:rFonts w:ascii="Arial" w:hAnsi="Arial" w:cs="Arial"/>
        <w:b/>
        <w:bCs/>
        <w:sz w:val="24"/>
        <w:szCs w:val="24"/>
      </w:rPr>
    </w:pPr>
  </w:p>
  <w:p w14:paraId="65AA3792" w14:textId="77777777" w:rsidR="00C2320D" w:rsidRPr="00C2320D" w:rsidRDefault="00C2320D" w:rsidP="00C2320D">
    <w:pPr>
      <w:spacing w:after="0" w:line="240" w:lineRule="auto"/>
      <w:rPr>
        <w:rFonts w:ascii="Arial" w:hAnsi="Arial" w:cs="Arial"/>
        <w:sz w:val="20"/>
        <w:szCs w:val="20"/>
        <w:u w:val="single"/>
      </w:rPr>
    </w:pPr>
    <w:r w:rsidRPr="00C2320D">
      <w:rPr>
        <w:rFonts w:ascii="Arial" w:hAnsi="Arial" w:cs="Arial"/>
        <w:sz w:val="20"/>
        <w:szCs w:val="20"/>
        <w:u w:val="single"/>
      </w:rPr>
      <w:t>Aanleiding:</w:t>
    </w:r>
  </w:p>
  <w:p w14:paraId="4E22DBDE" w14:textId="66F59182" w:rsidR="00C2320D" w:rsidRPr="00C2320D" w:rsidRDefault="00C2320D" w:rsidP="00C2320D">
    <w:pPr>
      <w:spacing w:after="0" w:line="240" w:lineRule="auto"/>
      <w:rPr>
        <w:rFonts w:ascii="Arial" w:hAnsi="Arial" w:cs="Arial"/>
        <w:sz w:val="20"/>
        <w:szCs w:val="20"/>
      </w:rPr>
    </w:pPr>
    <w:r w:rsidRPr="00C2320D">
      <w:rPr>
        <w:rFonts w:ascii="Arial" w:hAnsi="Arial" w:cs="Arial"/>
        <w:sz w:val="20"/>
        <w:szCs w:val="20"/>
      </w:rPr>
      <w:t xml:space="preserve">In najaarsvergadering 2019 is onderscheid donateurs-leden zonder ligplaats aan de orde </w:t>
    </w:r>
    <w:proofErr w:type="spellStart"/>
    <w:proofErr w:type="gramStart"/>
    <w:r w:rsidRPr="00C2320D">
      <w:rPr>
        <w:rFonts w:ascii="Arial" w:hAnsi="Arial" w:cs="Arial"/>
        <w:sz w:val="20"/>
        <w:szCs w:val="20"/>
      </w:rPr>
      <w:t>geweest.</w:t>
    </w:r>
    <w:r w:rsidR="00E167C0">
      <w:rPr>
        <w:rFonts w:ascii="Arial" w:hAnsi="Arial" w:cs="Arial"/>
        <w:sz w:val="20"/>
        <w:szCs w:val="20"/>
      </w:rPr>
      <w:t>In</w:t>
    </w:r>
    <w:proofErr w:type="spellEnd"/>
    <w:proofErr w:type="gramEnd"/>
    <w:r w:rsidR="00E167C0">
      <w:rPr>
        <w:rFonts w:ascii="Arial" w:hAnsi="Arial" w:cs="Arial"/>
        <w:sz w:val="20"/>
        <w:szCs w:val="20"/>
      </w:rPr>
      <w:t xml:space="preserve"> die vergadering zijn rechten en plichten </w:t>
    </w:r>
    <w:r w:rsidRPr="00C2320D">
      <w:rPr>
        <w:rFonts w:ascii="Arial" w:hAnsi="Arial" w:cs="Arial"/>
        <w:sz w:val="20"/>
        <w:szCs w:val="20"/>
      </w:rPr>
      <w:t xml:space="preserve">van beide type leden benoemd. </w:t>
    </w:r>
    <w:r w:rsidR="00E167C0">
      <w:rPr>
        <w:rFonts w:ascii="Arial" w:hAnsi="Arial" w:cs="Arial"/>
        <w:sz w:val="20"/>
        <w:szCs w:val="20"/>
      </w:rPr>
      <w:t xml:space="preserve">De </w:t>
    </w:r>
    <w:r w:rsidR="00362B01">
      <w:rPr>
        <w:rFonts w:ascii="Arial" w:hAnsi="Arial" w:cs="Arial"/>
        <w:sz w:val="20"/>
        <w:szCs w:val="20"/>
      </w:rPr>
      <w:t>rechten en plichten van leden zonder ligplaatszijn ech</w:t>
    </w:r>
    <w:r w:rsidRPr="00C2320D">
      <w:rPr>
        <w:rFonts w:ascii="Arial" w:hAnsi="Arial" w:cs="Arial"/>
        <w:sz w:val="20"/>
        <w:szCs w:val="20"/>
      </w:rPr>
      <w:t>ter niet in HHR verwerkt. Daarom nu deze wijziging.</w:t>
    </w:r>
  </w:p>
  <w:p w14:paraId="2A59A8D8" w14:textId="75DC220F" w:rsidR="00C2320D" w:rsidRPr="00C2320D" w:rsidRDefault="00C2320D" w:rsidP="00C2320D">
    <w:pPr>
      <w:spacing w:after="0" w:line="240" w:lineRule="auto"/>
      <w:rPr>
        <w:rFonts w:ascii="Arial" w:hAnsi="Arial" w:cs="Arial"/>
        <w:sz w:val="20"/>
        <w:szCs w:val="20"/>
      </w:rPr>
    </w:pPr>
    <w:r w:rsidRPr="00C2320D">
      <w:rPr>
        <w:rFonts w:ascii="Arial" w:hAnsi="Arial" w:cs="Arial"/>
        <w:sz w:val="20"/>
        <w:szCs w:val="20"/>
      </w:rPr>
      <w:t xml:space="preserve">Daarnaast wordt in deze wijziging de status van jeugdleden zonder boot en </w:t>
    </w:r>
    <w:r w:rsidR="00362B01">
      <w:rPr>
        <w:rFonts w:ascii="Arial" w:hAnsi="Arial" w:cs="Arial"/>
        <w:sz w:val="20"/>
        <w:szCs w:val="20"/>
      </w:rPr>
      <w:t>d</w:t>
    </w:r>
    <w:r w:rsidRPr="00C2320D">
      <w:rPr>
        <w:rFonts w:ascii="Arial" w:hAnsi="Arial" w:cs="Arial"/>
        <w:sz w:val="20"/>
        <w:szCs w:val="20"/>
      </w:rPr>
      <w:t>e regels rondom het hebben van 2 ligplaatsen verwoord.</w:t>
    </w:r>
  </w:p>
  <w:p w14:paraId="31463943" w14:textId="77777777" w:rsidR="00EF7E3F" w:rsidRDefault="00EF7E3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3F"/>
    <w:rsid w:val="000131A6"/>
    <w:rsid w:val="001C7EF3"/>
    <w:rsid w:val="00254BFF"/>
    <w:rsid w:val="00316747"/>
    <w:rsid w:val="00362B01"/>
    <w:rsid w:val="0042029E"/>
    <w:rsid w:val="007D1E4A"/>
    <w:rsid w:val="009D2B26"/>
    <w:rsid w:val="00C2320D"/>
    <w:rsid w:val="00C92B28"/>
    <w:rsid w:val="00E167C0"/>
    <w:rsid w:val="00EF7E3F"/>
    <w:rsid w:val="00F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B5AF"/>
  <w15:chartTrackingRefBased/>
  <w15:docId w15:val="{8104A893-BA2C-4FB8-B95F-12BC2A57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7E3F"/>
  </w:style>
  <w:style w:type="paragraph" w:styleId="Voettekst">
    <w:name w:val="footer"/>
    <w:basedOn w:val="Standaard"/>
    <w:link w:val="VoettekstChar"/>
    <w:uiPriority w:val="99"/>
    <w:unhideWhenUsed/>
    <w:rsid w:val="00EF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7E3F"/>
  </w:style>
  <w:style w:type="table" w:styleId="Tabelraster">
    <w:name w:val="Table Grid"/>
    <w:basedOn w:val="Standaardtabel"/>
    <w:uiPriority w:val="39"/>
    <w:rsid w:val="0042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poelstra 75839</dc:creator>
  <cp:keywords/>
  <dc:description/>
  <cp:lastModifiedBy>poelstra 75839</cp:lastModifiedBy>
  <cp:revision>9</cp:revision>
  <dcterms:created xsi:type="dcterms:W3CDTF">2020-11-16T17:48:00Z</dcterms:created>
  <dcterms:modified xsi:type="dcterms:W3CDTF">2020-11-18T22:31:00Z</dcterms:modified>
</cp:coreProperties>
</file>